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0E0FFD31" w:rsidR="00A00664" w:rsidRDefault="003D197F" w:rsidP="008A7463">
      <w:pPr>
        <w:pStyle w:val="Subtitle"/>
        <w:rPr>
          <w:rFonts w:ascii="Verdana" w:hAnsi="Verdana" w:cs="Verdana"/>
          <w:sz w:val="24"/>
          <w:szCs w:val="24"/>
        </w:rPr>
      </w:pPr>
      <w:r>
        <w:rPr>
          <w:rFonts w:ascii="Verdana" w:hAnsi="Verdana" w:cs="Verdana"/>
          <w:sz w:val="24"/>
          <w:szCs w:val="24"/>
        </w:rPr>
        <w:t>February 12</w:t>
      </w:r>
      <w:r w:rsidR="009A3B85">
        <w:rPr>
          <w:rFonts w:ascii="Verdana" w:hAnsi="Verdana" w:cs="Verdana"/>
          <w:sz w:val="24"/>
          <w:szCs w:val="24"/>
        </w:rPr>
        <w:t>, 20</w:t>
      </w:r>
      <w:r>
        <w:rPr>
          <w:rFonts w:ascii="Verdana" w:hAnsi="Verdana" w:cs="Verdana"/>
          <w:sz w:val="24"/>
          <w:szCs w:val="24"/>
        </w:rPr>
        <w:t>20</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Pr>
          <w:rFonts w:ascii="Verdana" w:hAnsi="Verdana" w:cs="Verdana"/>
          <w:sz w:val="24"/>
          <w:szCs w:val="24"/>
        </w:rPr>
        <w:t>9:50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594B9393" w14:textId="534114F5" w:rsidR="00D84F27" w:rsidRDefault="009A3B85" w:rsidP="00B35C45">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t>
      </w:r>
      <w:r w:rsidR="00B35C45">
        <w:rPr>
          <w:rFonts w:ascii="Verdana" w:hAnsi="Verdana" w:cs="Verdana"/>
          <w:bCs/>
        </w:rPr>
        <w:t xml:space="preserve">were no reportable system outages in Southeast region for the month of </w:t>
      </w:r>
      <w:r w:rsidR="003D197F">
        <w:rPr>
          <w:rFonts w:ascii="Verdana" w:hAnsi="Verdana" w:cs="Verdana"/>
          <w:bCs/>
        </w:rPr>
        <w:t>January 2020.</w:t>
      </w:r>
    </w:p>
    <w:p w14:paraId="2DD5A92F" w14:textId="77777777" w:rsidR="00B35C45" w:rsidRDefault="00B35C45" w:rsidP="00B35C45">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22846409" w14:textId="2CA7BCF0" w:rsidR="00947F37" w:rsidRPr="00947F37" w:rsidRDefault="00A34461" w:rsidP="00947F37">
      <w:pPr>
        <w:rPr>
          <w:rFonts w:ascii="Verdana" w:hAnsi="Verdana" w:cs="Arial"/>
        </w:rPr>
      </w:pPr>
      <w:r w:rsidRPr="00E159F0">
        <w:rPr>
          <w:rFonts w:ascii="Verdana" w:hAnsi="Verdana"/>
          <w:b/>
          <w:bCs/>
          <w:u w:val="single"/>
        </w:rPr>
        <w:t>21-State CLEC Change Request Log</w:t>
      </w:r>
      <w:r w:rsidR="003A52E3">
        <w:rPr>
          <w:rFonts w:ascii="Verdana" w:hAnsi="Verdana"/>
          <w:b/>
          <w:bCs/>
          <w:u w:val="single"/>
        </w:rPr>
        <w:t xml:space="preserve"> </w:t>
      </w:r>
      <w:r w:rsidR="005A42ED">
        <w:rPr>
          <w:rFonts w:ascii="Verdana" w:hAnsi="Verdana"/>
          <w:bCs/>
        </w:rPr>
        <w:t>– No active issues reported on</w:t>
      </w:r>
      <w:r w:rsidR="005A42ED" w:rsidRPr="00947F37">
        <w:rPr>
          <w:rFonts w:ascii="Verdana" w:hAnsi="Verdana"/>
          <w:bCs/>
        </w:rPr>
        <w:t xml:space="preserve">.  </w:t>
      </w:r>
      <w:r w:rsidR="00A55EBD" w:rsidRPr="00947F37">
        <w:rPr>
          <w:rFonts w:ascii="Verdana" w:hAnsi="Verdana"/>
          <w:bCs/>
        </w:rPr>
        <w:t xml:space="preserve">  </w:t>
      </w:r>
      <w:r w:rsidR="003D197F">
        <w:rPr>
          <w:rFonts w:ascii="Verdana" w:hAnsi="Verdana"/>
          <w:bCs/>
        </w:rPr>
        <w:t xml:space="preserve"> </w:t>
      </w:r>
    </w:p>
    <w:p w14:paraId="357C38E4" w14:textId="77777777" w:rsidR="00A55EBD" w:rsidRDefault="00A55EBD" w:rsidP="004D075B">
      <w:pPr>
        <w:rPr>
          <w:rFonts w:ascii="Verdana" w:hAnsi="Verdana"/>
          <w:bCs/>
        </w:rPr>
      </w:pPr>
    </w:p>
    <w:p w14:paraId="657216FA" w14:textId="5ABC6C98" w:rsidR="003D197F" w:rsidRDefault="003D197F" w:rsidP="004D075B">
      <w:pPr>
        <w:rPr>
          <w:rFonts w:ascii="Verdana" w:hAnsi="Verdana"/>
          <w:b/>
          <w:bCs/>
          <w:u w:val="single"/>
        </w:rPr>
      </w:pPr>
      <w:r>
        <w:rPr>
          <w:rFonts w:ascii="Verdana" w:hAnsi="Verdana"/>
          <w:b/>
          <w:bCs/>
          <w:u w:val="single"/>
        </w:rPr>
        <w:t>System Downtime updates</w:t>
      </w:r>
      <w:r w:rsidRPr="003D197F">
        <w:rPr>
          <w:rFonts w:ascii="Verdana" w:hAnsi="Verdana"/>
          <w:bCs/>
        </w:rPr>
        <w:t xml:space="preserve"> </w:t>
      </w:r>
      <w:r>
        <w:rPr>
          <w:rFonts w:ascii="Verdana" w:hAnsi="Verdana"/>
          <w:bCs/>
        </w:rPr>
        <w:t xml:space="preserve">– AT&amp;T advised that there have been recent updates to the system downtime log posted on the CMP Home Page.    Notably, there were updates for the end of February </w:t>
      </w:r>
      <w:r w:rsidR="003468C4">
        <w:rPr>
          <w:rFonts w:ascii="Verdana" w:hAnsi="Verdana"/>
          <w:bCs/>
        </w:rPr>
        <w:t xml:space="preserve">2020 </w:t>
      </w:r>
      <w:bookmarkStart w:id="0" w:name="_GoBack"/>
      <w:bookmarkEnd w:id="0"/>
      <w:r>
        <w:rPr>
          <w:rFonts w:ascii="Verdana" w:hAnsi="Verdana"/>
          <w:bCs/>
        </w:rPr>
        <w:t xml:space="preserve">that will impact Trouble Reporting and Ordering that were recently logged and posted to the log.   </w:t>
      </w:r>
      <w:r>
        <w:rPr>
          <w:rFonts w:ascii="Verdana" w:hAnsi="Verdana"/>
          <w:b/>
          <w:bCs/>
          <w:u w:val="single"/>
        </w:rPr>
        <w:t xml:space="preserve"> </w:t>
      </w:r>
    </w:p>
    <w:p w14:paraId="43D2E4E1" w14:textId="77777777" w:rsidR="003D197F" w:rsidRDefault="003D197F" w:rsidP="004D075B">
      <w:pPr>
        <w:rPr>
          <w:rFonts w:ascii="Verdana" w:hAnsi="Verdana"/>
          <w:b/>
          <w:bCs/>
          <w:u w:val="single"/>
        </w:rPr>
      </w:pPr>
    </w:p>
    <w:p w14:paraId="39E63F46" w14:textId="2BC1FFF7" w:rsidR="00A70F14" w:rsidRPr="003A52E3" w:rsidRDefault="003D197F" w:rsidP="004D075B">
      <w:pPr>
        <w:rPr>
          <w:rFonts w:ascii="Verdana" w:hAnsi="Verdana"/>
          <w:bCs/>
        </w:rPr>
      </w:pPr>
      <w:r>
        <w:rPr>
          <w:rFonts w:ascii="Verdana" w:hAnsi="Verdana"/>
          <w:b/>
          <w:bCs/>
          <w:u w:val="single"/>
        </w:rPr>
        <w:t>March 2020</w:t>
      </w:r>
      <w:r w:rsidR="00A55EBD" w:rsidRPr="00A55EBD">
        <w:rPr>
          <w:rFonts w:ascii="Verdana" w:hAnsi="Verdana"/>
          <w:b/>
          <w:bCs/>
          <w:u w:val="single"/>
        </w:rPr>
        <w:t xml:space="preserve"> Release timing</w:t>
      </w:r>
      <w:r w:rsidR="00A55EBD">
        <w:rPr>
          <w:rFonts w:ascii="Verdana" w:hAnsi="Verdana"/>
          <w:bCs/>
        </w:rPr>
        <w:t xml:space="preserve"> – AT&amp;T recapped the upcoming OSS release is on schedule for the weekend of</w:t>
      </w:r>
      <w:r>
        <w:rPr>
          <w:rFonts w:ascii="Verdana" w:hAnsi="Verdana"/>
          <w:bCs/>
        </w:rPr>
        <w:t xml:space="preserve"> March 20-23, 2020</w:t>
      </w:r>
      <w:r w:rsidR="00A55EBD">
        <w:rPr>
          <w:rFonts w:ascii="Verdana" w:hAnsi="Verdana"/>
          <w:bCs/>
        </w:rPr>
        <w:t xml:space="preserve">.    This release is not code impacting, but the test environment is available per the normal process.   </w:t>
      </w:r>
      <w:r w:rsidR="005A42ED">
        <w:rPr>
          <w:rFonts w:ascii="Verdana" w:hAnsi="Verdana"/>
          <w:bCs/>
        </w:rPr>
        <w:t xml:space="preserve"> </w:t>
      </w:r>
      <w:r w:rsidR="00A55EBD">
        <w:rPr>
          <w:rFonts w:ascii="Verdana" w:hAnsi="Verdana"/>
          <w:bCs/>
        </w:rPr>
        <w:t xml:space="preserve"> </w:t>
      </w:r>
    </w:p>
    <w:p w14:paraId="1445046C" w14:textId="77777777" w:rsidR="000C3C36" w:rsidRDefault="000C3C36" w:rsidP="004D075B">
      <w:pPr>
        <w:overflowPunct/>
        <w:autoSpaceDE/>
        <w:autoSpaceDN/>
        <w:adjustRightInd/>
        <w:textAlignment w:val="auto"/>
        <w:rPr>
          <w:rFonts w:ascii="Verdana" w:hAnsi="Verdana" w:cs="Verdana"/>
          <w:b/>
          <w:bCs/>
          <w:u w:val="single"/>
        </w:rPr>
      </w:pPr>
    </w:p>
    <w:p w14:paraId="0648EFC3" w14:textId="36C7628D" w:rsidR="00A80742" w:rsidRPr="009A3B85" w:rsidRDefault="000C3C3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55C42D9D" w14:textId="7ACC6925" w:rsidR="00311D9A" w:rsidRPr="000C3C36" w:rsidRDefault="00311D9A" w:rsidP="000C3C36">
      <w:pPr>
        <w:pStyle w:val="Header"/>
        <w:rPr>
          <w:rFonts w:ascii="Verdana" w:hAnsi="Verdana" w:cs="Verdana"/>
          <w:b/>
          <w:bCs/>
          <w:u w:val="single"/>
        </w:rPr>
      </w:pPr>
    </w:p>
    <w:p w14:paraId="339A6CA6" w14:textId="0F628C29" w:rsidR="003D197F" w:rsidRDefault="003D197F" w:rsidP="00311D9A">
      <w:pPr>
        <w:rPr>
          <w:rFonts w:ascii="Verdana" w:hAnsi="Verdana" w:cs="Verdana"/>
          <w:b/>
          <w:bCs/>
          <w:u w:val="single"/>
        </w:rPr>
      </w:pPr>
      <w:r>
        <w:rPr>
          <w:rFonts w:ascii="Verdana" w:hAnsi="Verdana" w:cs="Verdana"/>
          <w:b/>
          <w:bCs/>
          <w:u w:val="single"/>
        </w:rPr>
        <w:t>Escalation Mailboxes for Repair Tickets (DSL vs. POTS/UNE)</w:t>
      </w:r>
    </w:p>
    <w:p w14:paraId="4E7090F6" w14:textId="77777777" w:rsidR="003468C4" w:rsidRDefault="003D197F" w:rsidP="00311D9A">
      <w:pPr>
        <w:rPr>
          <w:rFonts w:ascii="Verdana" w:hAnsi="Verdana" w:cs="Verdana"/>
          <w:bCs/>
        </w:rPr>
      </w:pPr>
      <w:r>
        <w:rPr>
          <w:rFonts w:ascii="Verdana" w:hAnsi="Verdana" w:cs="Verdana"/>
          <w:bCs/>
        </w:rPr>
        <w:t>AT&amp;T explained that there have been recent escalation emails sent to the Wholesale DSL executive complaint mailbox (</w:t>
      </w:r>
      <w:hyperlink r:id="rId8" w:history="1">
        <w:r w:rsidRPr="00D545CE">
          <w:rPr>
            <w:rStyle w:val="Hyperlink"/>
            <w:rFonts w:ascii="Verdana" w:hAnsi="Verdana" w:cs="Verdana"/>
            <w:bCs/>
          </w:rPr>
          <w:t>m24537@att.com</w:t>
        </w:r>
      </w:hyperlink>
      <w:r>
        <w:rPr>
          <w:rFonts w:ascii="Verdana" w:hAnsi="Verdana" w:cs="Verdana"/>
          <w:bCs/>
        </w:rPr>
        <w:t>) that were for CLEC services that should be escalated to the centers outlined on the CLEC escalation matrix instead (</w:t>
      </w:r>
      <w:hyperlink r:id="rId9" w:history="1">
        <w:r w:rsidRPr="00D545CE">
          <w:rPr>
            <w:rStyle w:val="Hyperlink"/>
            <w:rFonts w:ascii="Verdana" w:hAnsi="Verdana" w:cs="Verdana"/>
            <w:bCs/>
          </w:rPr>
          <w:t>https://clec.att.com/clec_escalation/index.cfm#</w:t>
        </w:r>
      </w:hyperlink>
      <w:r>
        <w:rPr>
          <w:rFonts w:ascii="Verdana" w:hAnsi="Verdana" w:cs="Verdana"/>
          <w:bCs/>
        </w:rPr>
        <w:t xml:space="preserve"> ).   </w:t>
      </w:r>
    </w:p>
    <w:p w14:paraId="7EE54393" w14:textId="77777777" w:rsidR="003468C4" w:rsidRDefault="003468C4" w:rsidP="00311D9A">
      <w:pPr>
        <w:rPr>
          <w:rFonts w:ascii="Verdana" w:hAnsi="Verdana" w:cs="Verdana"/>
          <w:bCs/>
        </w:rPr>
      </w:pPr>
    </w:p>
    <w:p w14:paraId="52A7A981" w14:textId="4F760D33" w:rsidR="003D197F" w:rsidRPr="003D197F" w:rsidRDefault="003D197F" w:rsidP="00311D9A">
      <w:pPr>
        <w:rPr>
          <w:rFonts w:ascii="Verdana" w:hAnsi="Verdana" w:cs="Verdana"/>
          <w:bCs/>
        </w:rPr>
      </w:pPr>
      <w:r>
        <w:rPr>
          <w:rFonts w:ascii="Verdana" w:hAnsi="Verdana" w:cs="Verdana"/>
          <w:bCs/>
        </w:rPr>
        <w:t xml:space="preserve">AT&amp;T reiterated that the Wholesale DSL mailbox is not supported by the CLEC centers and sending escalations requests there will further delay a response from the responsible work groups in the center(s).  </w:t>
      </w:r>
    </w:p>
    <w:p w14:paraId="2C04739D" w14:textId="77777777" w:rsidR="003D197F" w:rsidRDefault="003D197F" w:rsidP="00311D9A">
      <w:pPr>
        <w:rPr>
          <w:rFonts w:ascii="Verdana" w:hAnsi="Verdana" w:cs="Verdana"/>
          <w:b/>
          <w:bCs/>
          <w:u w:val="single"/>
        </w:rPr>
      </w:pPr>
    </w:p>
    <w:p w14:paraId="2408530E" w14:textId="54EA2A7E" w:rsidR="008F3ECE" w:rsidRDefault="003D197F" w:rsidP="00311D9A">
      <w:pPr>
        <w:rPr>
          <w:rFonts w:ascii="Verdana" w:hAnsi="Verdana" w:cs="Verdana"/>
          <w:b/>
          <w:bCs/>
          <w:u w:val="single"/>
        </w:rPr>
      </w:pPr>
      <w:r>
        <w:rPr>
          <w:rFonts w:ascii="Verdana" w:hAnsi="Verdana" w:cs="Verdana"/>
          <w:b/>
          <w:bCs/>
          <w:u w:val="single"/>
        </w:rPr>
        <w:t>Recent NCN copper retirement updates/notice</w:t>
      </w:r>
      <w:r w:rsidR="008F3ECE">
        <w:rPr>
          <w:rFonts w:ascii="Verdana" w:hAnsi="Verdana" w:cs="Verdana"/>
          <w:b/>
          <w:bCs/>
          <w:u w:val="single"/>
        </w:rPr>
        <w:t>(s)</w:t>
      </w:r>
    </w:p>
    <w:p w14:paraId="76C70F2F" w14:textId="7ACE4D8B" w:rsidR="00A55EBD" w:rsidRPr="00A55EBD" w:rsidRDefault="003D197F" w:rsidP="0003081F">
      <w:pPr>
        <w:pStyle w:val="Header"/>
        <w:rPr>
          <w:rFonts w:ascii="Verdana" w:hAnsi="Verdana" w:cs="Verdana"/>
          <w:bCs/>
        </w:rPr>
      </w:pPr>
      <w:r>
        <w:rPr>
          <w:rFonts w:ascii="Verdana" w:hAnsi="Verdana" w:cs="Verdana"/>
          <w:bCs/>
        </w:rPr>
        <w:t xml:space="preserve">AT&amp;T provided an update on recent NCN notifications that went out to impacted CLECs for </w:t>
      </w:r>
      <w:r w:rsidR="003468C4">
        <w:rPr>
          <w:rFonts w:ascii="Verdana" w:hAnsi="Verdana" w:cs="Verdana"/>
          <w:bCs/>
        </w:rPr>
        <w:t xml:space="preserve">St. Charles (NOLA), LA (1/27), </w:t>
      </w:r>
      <w:r>
        <w:rPr>
          <w:rFonts w:ascii="Verdana" w:hAnsi="Verdana" w:cs="Verdana"/>
          <w:bCs/>
        </w:rPr>
        <w:t xml:space="preserve">Lenoir City, TN (2/11), Charleston, SC (2/10) and Columbia, SC (2/10).    CLECs that did not have lines impacted or would be displaced by the change do not get these notices.   </w:t>
      </w:r>
      <w:r w:rsidR="003468C4">
        <w:rPr>
          <w:rFonts w:ascii="Verdana" w:hAnsi="Verdana" w:cs="Verdana"/>
          <w:bCs/>
        </w:rPr>
        <w:t xml:space="preserve">AT&amp;T reminded that the group that every NCN will also be announced via Accessible Letter on or shortly before the actual NCN is filed with the FCC, so those are additional resources to refer to.    If CLECs do have questions about the scope of an NCN or have concerns, they can either contact their account manager or the technical contacts listed in the letter for further guidance.   </w:t>
      </w:r>
    </w:p>
    <w:p w14:paraId="2CD6F2F6" w14:textId="77777777" w:rsidR="00A55EBD" w:rsidRDefault="00A55EBD" w:rsidP="0003081F">
      <w:pPr>
        <w:pStyle w:val="Header"/>
        <w:rPr>
          <w:rFonts w:ascii="Verdana" w:hAnsi="Verdana" w:cs="Verdana"/>
          <w:b/>
          <w:bCs/>
          <w:u w:val="single"/>
        </w:rPr>
      </w:pPr>
    </w:p>
    <w:p w14:paraId="31DB5F06" w14:textId="35B75BEF" w:rsidR="0003081F" w:rsidRPr="0003081F" w:rsidRDefault="00A55EBD"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37C8EA1C" w14:textId="6EE96597" w:rsidR="00B35C45" w:rsidRDefault="003D197F" w:rsidP="008A7463">
      <w:pPr>
        <w:overflowPunct/>
        <w:autoSpaceDE/>
        <w:autoSpaceDN/>
        <w:adjustRightInd/>
        <w:textAlignment w:val="auto"/>
        <w:rPr>
          <w:rFonts w:ascii="Verdana" w:hAnsi="Verdana" w:cs="Verdana"/>
          <w:bCs/>
        </w:rPr>
      </w:pPr>
      <w:r>
        <w:rPr>
          <w:rFonts w:ascii="Verdana" w:hAnsi="Verdana" w:cs="Verdana"/>
          <w:bCs/>
        </w:rPr>
        <w:t xml:space="preserve">TDS asked about whether this is a list of all the wholesale UNE USOCs that would be impacted by the recent Forbearance Orders that CLECs could obtain.   AT&amp;T advised that the UNE pricing schedule will generally provide a listing of those elements and CLECs can identify the UNE analog voice and transport elements that way.    However, AT&amp;T did agree to check further with internal product resources and will share any additional resource lists that are available to assist in this validation and respond to both TDS, as well as post any such information in meeting minutes or on the next meeting agenda as appropriate.  </w:t>
      </w: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1C555E8C" w:rsidR="00A00664" w:rsidRPr="00DB5493" w:rsidRDefault="00401130">
      <w:pPr>
        <w:pStyle w:val="FootnoteText"/>
        <w:rPr>
          <w:rFonts w:ascii="Verdana" w:hAnsi="Verdana" w:cs="Verdana"/>
          <w:sz w:val="22"/>
          <w:szCs w:val="22"/>
        </w:rPr>
      </w:pPr>
      <w:r w:rsidRPr="000C3C36">
        <w:rPr>
          <w:rFonts w:ascii="Verdana" w:hAnsi="Verdana" w:cs="Verdana"/>
          <w:sz w:val="22"/>
          <w:szCs w:val="22"/>
          <w:highlight w:val="yellow"/>
        </w:rPr>
        <w:t>W</w:t>
      </w:r>
      <w:r w:rsidR="008F3ECE">
        <w:rPr>
          <w:rFonts w:ascii="Verdana" w:hAnsi="Verdana" w:cs="Verdana"/>
          <w:sz w:val="22"/>
          <w:szCs w:val="22"/>
          <w:highlight w:val="yellow"/>
        </w:rPr>
        <w:t xml:space="preserve">ednesday, </w:t>
      </w:r>
      <w:r w:rsidR="003D197F">
        <w:rPr>
          <w:rFonts w:ascii="Verdana" w:hAnsi="Verdana" w:cs="Verdana"/>
          <w:sz w:val="22"/>
          <w:szCs w:val="22"/>
          <w:highlight w:val="yellow"/>
        </w:rPr>
        <w:t>March 11</w:t>
      </w:r>
      <w:r w:rsidR="006B5EBB" w:rsidRPr="000C3C36">
        <w:rPr>
          <w:rFonts w:ascii="Verdana" w:hAnsi="Verdana" w:cs="Verdana"/>
          <w:sz w:val="22"/>
          <w:szCs w:val="22"/>
          <w:highlight w:val="yellow"/>
        </w:rPr>
        <w:t xml:space="preserve"> </w:t>
      </w:r>
      <w:r w:rsidR="001E31AD" w:rsidRPr="000C3C36">
        <w:rPr>
          <w:rFonts w:ascii="Verdana" w:hAnsi="Verdana" w:cs="Verdana"/>
          <w:sz w:val="22"/>
          <w:szCs w:val="22"/>
          <w:highlight w:val="yellow"/>
        </w:rPr>
        <w:t xml:space="preserve">~ </w:t>
      </w:r>
      <w:r w:rsidR="0003081F" w:rsidRPr="000C3C36">
        <w:rPr>
          <w:rFonts w:ascii="Verdana" w:hAnsi="Verdana" w:cs="Verdana"/>
          <w:sz w:val="22"/>
          <w:szCs w:val="22"/>
          <w:highlight w:val="yellow"/>
        </w:rPr>
        <w:t>9</w:t>
      </w:r>
      <w:r w:rsidR="001E31AD" w:rsidRPr="000C3C36">
        <w:rPr>
          <w:rFonts w:ascii="Verdana" w:hAnsi="Verdana" w:cs="Verdana"/>
          <w:sz w:val="22"/>
          <w:szCs w:val="22"/>
          <w:highlight w:val="yellow"/>
        </w:rPr>
        <w:t>:</w:t>
      </w:r>
      <w:r w:rsidR="0003081F" w:rsidRPr="000C3C36">
        <w:rPr>
          <w:rFonts w:ascii="Verdana" w:hAnsi="Verdana" w:cs="Verdana"/>
          <w:sz w:val="22"/>
          <w:szCs w:val="22"/>
          <w:highlight w:val="yellow"/>
        </w:rPr>
        <w:t>3</w:t>
      </w:r>
      <w:r w:rsidR="00DC4133" w:rsidRPr="000C3C36">
        <w:rPr>
          <w:rFonts w:ascii="Verdana" w:hAnsi="Verdana" w:cs="Verdana"/>
          <w:sz w:val="22"/>
          <w:szCs w:val="22"/>
          <w:highlight w:val="yellow"/>
        </w:rPr>
        <w:t>0</w:t>
      </w:r>
      <w:r w:rsidR="0003081F" w:rsidRPr="000C3C36">
        <w:rPr>
          <w:rFonts w:ascii="Verdana" w:hAnsi="Verdana" w:cs="Verdana"/>
          <w:sz w:val="22"/>
          <w:szCs w:val="22"/>
          <w:highlight w:val="yellow"/>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10"/>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23C727D2"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2A4F6587" w14:textId="77777777" w:rsidR="00E658F4" w:rsidRDefault="00E658F4" w:rsidP="00E71F20">
      <w:pPr>
        <w:rPr>
          <w:rFonts w:ascii="Verdana" w:hAnsi="Verdana"/>
          <w:b/>
        </w:rPr>
      </w:pPr>
    </w:p>
    <w:bookmarkStart w:id="1" w:name="_MON_1643451588"/>
    <w:bookmarkEnd w:id="1"/>
    <w:p w14:paraId="74DF8F5D" w14:textId="7154E610" w:rsidR="002F6FAA" w:rsidRPr="004E4FE7" w:rsidRDefault="003D197F" w:rsidP="00E71F20">
      <w:pPr>
        <w:rPr>
          <w:rFonts w:ascii="Verdana" w:hAnsi="Verdana"/>
          <w:b/>
        </w:rPr>
      </w:pPr>
      <w:r>
        <w:rPr>
          <w:rFonts w:ascii="Verdana" w:hAnsi="Verdana"/>
          <w:b/>
        </w:rPr>
        <w:object w:dxaOrig="1516" w:dyaOrig="987" w14:anchorId="610AF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11" o:title=""/>
          </v:shape>
          <o:OLEObject Type="Embed" ProgID="Word.Document.12" ShapeID="_x0000_i1027" DrawAspect="Icon" ObjectID="_1643451864" r:id="rId12">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BDBE" w14:textId="77777777" w:rsidR="00497202" w:rsidRDefault="00497202">
      <w:r>
        <w:separator/>
      </w:r>
    </w:p>
  </w:endnote>
  <w:endnote w:type="continuationSeparator" w:id="0">
    <w:p w14:paraId="719D75EB" w14:textId="77777777" w:rsidR="00497202" w:rsidRDefault="0049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205DC9E3"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F13970">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F13970">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FB57" w14:textId="77777777" w:rsidR="00497202" w:rsidRDefault="00497202">
      <w:r>
        <w:separator/>
      </w:r>
    </w:p>
  </w:footnote>
  <w:footnote w:type="continuationSeparator" w:id="0">
    <w:p w14:paraId="75C1AC5B" w14:textId="77777777" w:rsidR="00497202" w:rsidRDefault="00497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3412B6"/>
    <w:multiLevelType w:val="hybridMultilevel"/>
    <w:tmpl w:val="2D26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1"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3"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0"/>
  </w:num>
  <w:num w:numId="6">
    <w:abstractNumId w:val="22"/>
  </w:num>
  <w:num w:numId="7">
    <w:abstractNumId w:val="19"/>
  </w:num>
  <w:num w:numId="8">
    <w:abstractNumId w:val="6"/>
  </w:num>
  <w:num w:numId="9">
    <w:abstractNumId w:val="26"/>
  </w:num>
  <w:num w:numId="10">
    <w:abstractNumId w:val="17"/>
  </w:num>
  <w:num w:numId="11">
    <w:abstractNumId w:val="1"/>
  </w:num>
  <w:num w:numId="12">
    <w:abstractNumId w:val="25"/>
  </w:num>
  <w:num w:numId="13">
    <w:abstractNumId w:val="16"/>
  </w:num>
  <w:num w:numId="14">
    <w:abstractNumId w:val="8"/>
  </w:num>
  <w:num w:numId="15">
    <w:abstractNumId w:val="11"/>
  </w:num>
  <w:num w:numId="16">
    <w:abstractNumId w:val="15"/>
  </w:num>
  <w:num w:numId="17">
    <w:abstractNumId w:val="24"/>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1"/>
  </w:num>
  <w:num w:numId="21">
    <w:abstractNumId w:val="23"/>
  </w:num>
  <w:num w:numId="22">
    <w:abstractNumId w:val="20"/>
  </w:num>
  <w:num w:numId="23">
    <w:abstractNumId w:val="9"/>
  </w:num>
  <w:num w:numId="24">
    <w:abstractNumId w:val="18"/>
  </w:num>
  <w:num w:numId="25">
    <w:abstractNumId w:val="12"/>
  </w:num>
  <w:num w:numId="26">
    <w:abstractNumId w:val="14"/>
  </w:num>
  <w:num w:numId="27">
    <w:abstractNumId w:val="3"/>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45E"/>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36"/>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1F2A"/>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0F35"/>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362E"/>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0A3"/>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8C4"/>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0D42"/>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97F"/>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9A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202"/>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02F"/>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4F8"/>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2ED"/>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2F12"/>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101"/>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3EC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47F37"/>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6D5"/>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DC4"/>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5EBD"/>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C45"/>
    <w:rsid w:val="00B35EB5"/>
    <w:rsid w:val="00B3720B"/>
    <w:rsid w:val="00B37366"/>
    <w:rsid w:val="00B40A24"/>
    <w:rsid w:val="00B40A79"/>
    <w:rsid w:val="00B41361"/>
    <w:rsid w:val="00B414C9"/>
    <w:rsid w:val="00B420D3"/>
    <w:rsid w:val="00B4357F"/>
    <w:rsid w:val="00B43672"/>
    <w:rsid w:val="00B43A8F"/>
    <w:rsid w:val="00B44564"/>
    <w:rsid w:val="00B44C87"/>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7AB"/>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964"/>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1CCC"/>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58F4"/>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3970"/>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0A5"/>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 w:type="character" w:styleId="UnresolvedMention">
    <w:name w:val="Unresolved Mention"/>
    <w:basedOn w:val="DefaultParagraphFont"/>
    <w:uiPriority w:val="99"/>
    <w:semiHidden/>
    <w:unhideWhenUsed/>
    <w:rsid w:val="003D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4537@at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ec.att.com/clec_escalation/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6602-B056-4029-9FE6-E0109DA1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2020-02-17T19:38:00Z</dcterms:created>
  <dcterms:modified xsi:type="dcterms:W3CDTF">2020-02-17T19:38:00Z</dcterms:modified>
</cp:coreProperties>
</file>